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rPr>
          <w:b w:val="1"/>
          <w:color w:val="45818e"/>
          <w:sz w:val="40"/>
          <w:szCs w:val="40"/>
          <w:rtl w:val="0"/>
        </w:rPr>
        <w:t xml:space="preserve">Fabula Ultima High Fantasy Atlas Errata List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Chapter 2: The World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19, fourth bullet point: </w:t>
      </w:r>
      <w:r w:rsidDel="00000000" w:rsidR="00000000" w:rsidRPr="00000000">
        <w:rPr>
          <w:sz w:val="20"/>
          <w:szCs w:val="20"/>
          <w:rtl w:val="0"/>
        </w:rPr>
        <w:t xml:space="preserve">Should be titled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Position</w:t>
      </w:r>
      <w:r w:rsidDel="00000000" w:rsidR="00000000" w:rsidRPr="00000000">
        <w:rPr>
          <w:sz w:val="20"/>
          <w:szCs w:val="20"/>
          <w:rtl w:val="0"/>
        </w:rPr>
        <w:t xml:space="preserve">”, not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Location</w:t>
      </w:r>
      <w:r w:rsidDel="00000000" w:rsidR="00000000" w:rsidRPr="00000000">
        <w:rPr>
          <w:sz w:val="20"/>
          <w:szCs w:val="20"/>
          <w:rtl w:val="0"/>
        </w:rPr>
        <w:t xml:space="preserve">”.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Pages 21, 25, 29, 33, 37, 41, 45, 49, 53, 57: </w:t>
      </w:r>
      <w:r w:rsidDel="00000000" w:rsidR="00000000" w:rsidRPr="00000000">
        <w:rPr>
          <w:sz w:val="20"/>
          <w:szCs w:val="20"/>
          <w:rtl w:val="0"/>
        </w:rPr>
        <w:t xml:space="preserve">The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LOCATION</w:t>
      </w:r>
      <w:r w:rsidDel="00000000" w:rsidR="00000000" w:rsidRPr="00000000">
        <w:rPr>
          <w:sz w:val="20"/>
          <w:szCs w:val="20"/>
          <w:rtl w:val="0"/>
        </w:rPr>
        <w:t xml:space="preserve">” section should instead be called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POSITION</w:t>
      </w:r>
      <w:r w:rsidDel="00000000" w:rsidR="00000000" w:rsidRPr="00000000">
        <w:rPr>
          <w:sz w:val="20"/>
          <w:szCs w:val="20"/>
          <w:rtl w:val="0"/>
        </w:rPr>
        <w:t xml:space="preserve">” on all of these pages.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87, Timebreaker Bracers: </w:t>
      </w:r>
      <w:r w:rsidDel="00000000" w:rsidR="00000000" w:rsidRPr="00000000">
        <w:rPr>
          <w:sz w:val="20"/>
          <w:szCs w:val="20"/>
          <w:rtl w:val="0"/>
        </w:rPr>
        <w:t xml:space="preserve">lines 8 and 9, the text should say “taxes the wearer’s energy: </w:t>
      </w:r>
      <w:r w:rsidDel="00000000" w:rsidR="00000000" w:rsidRPr="00000000">
        <w:rPr>
          <w:b w:val="1"/>
          <w:sz w:val="20"/>
          <w:szCs w:val="20"/>
          <w:rtl w:val="0"/>
        </w:rPr>
        <w:t xml:space="preserve">their maximum Hit Points and Mind Points scores are permanently reduced by 5</w:t>
      </w:r>
      <w:r w:rsidDel="00000000" w:rsidR="00000000" w:rsidRPr="00000000">
        <w:rPr>
          <w:sz w:val="20"/>
          <w:szCs w:val="20"/>
          <w:rtl w:val="0"/>
        </w:rPr>
        <w:t xml:space="preserve">. In addition…”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Chapter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3: Protagonists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New!</w:t>
      </w:r>
      <w:r w:rsidDel="00000000" w:rsidR="00000000" w:rsidRPr="00000000">
        <w:rPr>
          <w:b w:val="1"/>
          <w:sz w:val="20"/>
          <w:szCs w:val="20"/>
          <w:rtl w:val="0"/>
        </w:rPr>
        <w:t xml:space="preserve"> Page 111, Dragonspine form I: </w:t>
      </w:r>
      <w:r w:rsidDel="00000000" w:rsidR="00000000" w:rsidRPr="00000000">
        <w:rPr>
          <w:sz w:val="20"/>
          <w:szCs w:val="20"/>
          <w:rtl w:val="0"/>
        </w:rPr>
        <w:t xml:space="preserve">This form should not be martial.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111, Dragonspine form II: </w:t>
      </w:r>
      <w:r w:rsidDel="00000000" w:rsidR="00000000" w:rsidRPr="00000000">
        <w:rPr>
          <w:sz w:val="20"/>
          <w:szCs w:val="20"/>
          <w:rtl w:val="0"/>
        </w:rPr>
        <w:t xml:space="preserve">This form should deal </w:t>
      </w:r>
      <w:r w:rsidDel="00000000" w:rsidR="00000000" w:rsidRPr="00000000">
        <w:rPr>
          <w:b w:val="1"/>
          <w:sz w:val="20"/>
          <w:szCs w:val="20"/>
          <w:rtl w:val="0"/>
        </w:rPr>
        <w:t xml:space="preserve">bolt </w:t>
      </w:r>
      <w:r w:rsidDel="00000000" w:rsidR="00000000" w:rsidRPr="00000000">
        <w:rPr>
          <w:sz w:val="20"/>
          <w:szCs w:val="20"/>
          <w:rtl w:val="0"/>
        </w:rPr>
        <w:t xml:space="preserve">damage,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physical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111, Protector Greatswords: </w:t>
      </w:r>
      <w:r w:rsidDel="00000000" w:rsidR="00000000" w:rsidRPr="00000000">
        <w:rPr>
          <w:sz w:val="20"/>
          <w:szCs w:val="20"/>
          <w:rtl w:val="0"/>
        </w:rPr>
        <w:t xml:space="preserve">These weapons should be </w:t>
      </w:r>
      <w:r w:rsidDel="00000000" w:rsidR="00000000" w:rsidRPr="00000000">
        <w:rPr>
          <w:b w:val="1"/>
          <w:sz w:val="20"/>
          <w:szCs w:val="20"/>
          <w:rtl w:val="0"/>
        </w:rPr>
        <w:t xml:space="preserve">melee</w:t>
      </w:r>
      <w:r w:rsidDel="00000000" w:rsidR="00000000" w:rsidRPr="00000000">
        <w:rPr>
          <w:sz w:val="20"/>
          <w:szCs w:val="20"/>
          <w:rtl w:val="0"/>
        </w:rPr>
        <w:t xml:space="preserve">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ranged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112, Revengers: </w:t>
      </w:r>
      <w:r w:rsidDel="00000000" w:rsidR="00000000" w:rsidRPr="00000000">
        <w:rPr>
          <w:sz w:val="20"/>
          <w:szCs w:val="20"/>
          <w:rtl w:val="0"/>
        </w:rPr>
        <w:t xml:space="preserve">These weapons should be </w:t>
      </w:r>
      <w:r w:rsidDel="00000000" w:rsidR="00000000" w:rsidRPr="00000000">
        <w:rPr>
          <w:b w:val="1"/>
          <w:sz w:val="20"/>
          <w:szCs w:val="20"/>
          <w:rtl w:val="0"/>
        </w:rPr>
        <w:t xml:space="preserve">ranged</w:t>
      </w:r>
      <w:r w:rsidDel="00000000" w:rsidR="00000000" w:rsidRPr="00000000">
        <w:rPr>
          <w:sz w:val="20"/>
          <w:szCs w:val="20"/>
          <w:rtl w:val="0"/>
        </w:rPr>
        <w:t xml:space="preserve">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melee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112, Cannon Gauntlets form II: </w:t>
      </w:r>
      <w:r w:rsidDel="00000000" w:rsidR="00000000" w:rsidRPr="00000000">
        <w:rPr>
          <w:sz w:val="20"/>
          <w:szCs w:val="20"/>
          <w:rtl w:val="0"/>
        </w:rPr>
        <w:t xml:space="preserve">This form should deal </w:t>
      </w:r>
      <w:r w:rsidDel="00000000" w:rsidR="00000000" w:rsidRPr="00000000">
        <w:rPr>
          <w:b w:val="1"/>
          <w:sz w:val="20"/>
          <w:szCs w:val="20"/>
          <w:rtl w:val="0"/>
        </w:rPr>
        <w:t xml:space="preserve">physical </w:t>
      </w:r>
      <w:r w:rsidDel="00000000" w:rsidR="00000000" w:rsidRPr="00000000">
        <w:rPr>
          <w:sz w:val="20"/>
          <w:szCs w:val="20"/>
          <w:rtl w:val="0"/>
        </w:rPr>
        <w:t xml:space="preserve">damage,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bolt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New!</w:t>
      </w:r>
      <w:r w:rsidDel="00000000" w:rsidR="00000000" w:rsidRPr="00000000">
        <w:rPr>
          <w:b w:val="1"/>
          <w:sz w:val="20"/>
          <w:szCs w:val="20"/>
          <w:rtl w:val="0"/>
        </w:rPr>
        <w:t xml:space="preserve"> Page 113, Groundsplitters form I: </w:t>
      </w:r>
      <w:r w:rsidDel="00000000" w:rsidR="00000000" w:rsidRPr="00000000">
        <w:rPr>
          <w:sz w:val="20"/>
          <w:szCs w:val="20"/>
          <w:rtl w:val="0"/>
        </w:rPr>
        <w:t xml:space="preserve">The Accuracy Check should have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+2 bonus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rtl w:val="0"/>
        </w:rPr>
        <w:t xml:space="preserve">Form II </w:t>
      </w:r>
      <w:r w:rsidDel="00000000" w:rsidR="00000000" w:rsidRPr="00000000">
        <w:rPr>
          <w:sz w:val="20"/>
          <w:szCs w:val="20"/>
          <w:rtl w:val="0"/>
        </w:rPr>
        <w:t xml:space="preserve">should not have it.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126, top of the page: </w:t>
      </w:r>
      <w:r w:rsidDel="00000000" w:rsidR="00000000" w:rsidRPr="00000000">
        <w:rPr>
          <w:sz w:val="20"/>
          <w:szCs w:val="20"/>
          <w:rtl w:val="0"/>
        </w:rPr>
        <w:t xml:space="preserve">The chart should say “Zero Effects”, not “Zero Triggers”.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133, Metalhead: </w:t>
      </w:r>
      <w:r w:rsidDel="00000000" w:rsidR="00000000" w:rsidRPr="00000000">
        <w:rPr>
          <w:sz w:val="20"/>
          <w:szCs w:val="20"/>
          <w:rtl w:val="0"/>
        </w:rPr>
        <w:t xml:space="preserve">should also have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Vibrato </w:t>
      </w:r>
      <w:r w:rsidDel="00000000" w:rsidR="00000000" w:rsidRPr="00000000">
        <w:rPr>
          <w:sz w:val="20"/>
          <w:szCs w:val="20"/>
          <w:rtl w:val="0"/>
        </w:rPr>
        <w:t xml:space="preserve">Skill.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138, Chanter, Key names: </w:t>
      </w:r>
      <w:r w:rsidDel="00000000" w:rsidR="00000000" w:rsidRPr="00000000">
        <w:rPr>
          <w:sz w:val="20"/>
          <w:szCs w:val="20"/>
          <w:rtl w:val="0"/>
        </w:rPr>
        <w:t xml:space="preserve">Some of the key names are misplaced.</w:t>
        <w:br w:type="textWrapping"/>
        <w:t xml:space="preserve">Radiance should correspond to light/dazed/Insight/Hit Points;</w:t>
        <w:br w:type="textWrapping"/>
        <w:t xml:space="preserve">Shadow to dark/weak/Dexterity/Mind Points;</w:t>
        <w:br w:type="textWrapping"/>
        <w:t xml:space="preserve">Stone to earth/dazed/Might/Hit Points;</w:t>
        <w:br w:type="textWrapping"/>
        <w:t xml:space="preserve">Thunder to bolt/shaken/Dexterity/Hit Points.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141, Commander, Charging Cavalry: </w:t>
      </w:r>
      <w:r w:rsidDel="00000000" w:rsidR="00000000" w:rsidRPr="00000000">
        <w:rPr>
          <w:sz w:val="20"/>
          <w:szCs w:val="20"/>
          <w:rtl w:val="0"/>
        </w:rPr>
        <w:t xml:space="preserve">The bonus is equal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SL</w:t>
      </w:r>
      <w:r w:rsidDel="00000000" w:rsidR="00000000" w:rsidRPr="00000000">
        <w:rPr>
          <w:sz w:val="20"/>
          <w:szCs w:val="20"/>
          <w:rtl w:val="0"/>
        </w:rPr>
        <w:t xml:space="preserve">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SL 3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150, Symbolist, Symbol of Forbbidance: </w:t>
      </w:r>
      <w:r w:rsidDel="00000000" w:rsidR="00000000" w:rsidRPr="00000000">
        <w:rPr>
          <w:sz w:val="20"/>
          <w:szCs w:val="20"/>
          <w:rtl w:val="0"/>
        </w:rPr>
        <w:t xml:space="preserve">In the third line, “increse” should be “increase”.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155, Double Arrow: </w:t>
      </w:r>
      <w:r w:rsidDel="00000000" w:rsidR="00000000" w:rsidRPr="00000000">
        <w:rPr>
          <w:sz w:val="20"/>
          <w:szCs w:val="20"/>
          <w:rtl w:val="0"/>
        </w:rPr>
        <w:t xml:space="preserve">In the last line,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“Twin Arrow”</w:t>
      </w:r>
      <w:r w:rsidDel="00000000" w:rsidR="00000000" w:rsidRPr="00000000">
        <w:rPr>
          <w:sz w:val="20"/>
          <w:szCs w:val="20"/>
          <w:rtl w:val="0"/>
        </w:rPr>
        <w:t xml:space="preserve"> should be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“Double Arrow”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159, Spider’s Web: </w:t>
      </w:r>
      <w:r w:rsidDel="00000000" w:rsidR="00000000" w:rsidRPr="00000000">
        <w:rPr>
          <w:sz w:val="20"/>
          <w:szCs w:val="20"/>
          <w:rtl w:val="0"/>
        </w:rPr>
        <w:t xml:space="preserve">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Requirements </w:t>
      </w:r>
      <w:r w:rsidDel="00000000" w:rsidR="00000000" w:rsidRPr="00000000">
        <w:rPr>
          <w:sz w:val="20"/>
          <w:szCs w:val="20"/>
          <w:rtl w:val="0"/>
        </w:rPr>
        <w:t xml:space="preserve">should be “you must have mastered one or more Classes among </w:t>
      </w:r>
      <w:r w:rsidDel="00000000" w:rsidR="00000000" w:rsidRPr="00000000">
        <w:rPr>
          <w:b w:val="1"/>
          <w:sz w:val="20"/>
          <w:szCs w:val="20"/>
          <w:rtl w:val="0"/>
        </w:rPr>
        <w:t xml:space="preserve">Fury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Weaponmaster</w:t>
      </w:r>
      <w:r w:rsidDel="00000000" w:rsidR="00000000" w:rsidRPr="00000000">
        <w:rPr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Chapter 4: Antagonists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192, Mimesis: </w:t>
      </w:r>
      <w:r w:rsidDel="00000000" w:rsidR="00000000" w:rsidRPr="00000000">
        <w:rPr>
          <w:sz w:val="20"/>
          <w:szCs w:val="20"/>
          <w:rtl w:val="0"/>
        </w:rPr>
        <w:t xml:space="preserve">In the statblock, “Regole Speciali” should be “Special Rules”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rPr>
          <w:b w:val="1"/>
          <w:color w:val="45818e"/>
          <w:sz w:val="40"/>
          <w:szCs w:val="40"/>
          <w:rtl w:val="0"/>
        </w:rPr>
        <w:t xml:space="preserve">F.A.Q. (frequently asked questions)</w:t>
      </w:r>
    </w:p>
    <w:p w:rsidR="00000000" w:rsidDel="00000000" w:rsidP="00000000" w:rsidRDefault="00000000" w:rsidRPr="00000000" w14:paraId="0000001B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Chanter</w:t>
      </w:r>
    </w:p>
    <w:p w:rsidR="00000000" w:rsidDel="00000000" w:rsidP="00000000" w:rsidRDefault="00000000" w:rsidRPr="00000000" w14:paraId="0000001D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Do the various chants really not require any Check to hit the targets?</w:t>
        <w:br w:type="textWrapping"/>
      </w:r>
      <w:r w:rsidDel="00000000" w:rsidR="00000000" w:rsidRPr="00000000">
        <w:rPr>
          <w:rtl w:val="0"/>
        </w:rPr>
        <w:t xml:space="preserve">Indeed, chants automatically take effect, no Check required.</w:t>
        <w:br w:type="textWrapping"/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Commander</w:t>
      </w:r>
    </w:p>
    <w:p w:rsidR="00000000" w:rsidDel="00000000" w:rsidP="00000000" w:rsidRDefault="00000000" w:rsidRPr="00000000" w14:paraId="0000002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Do King’s Castle and Bishop’s Edict really affect all participants in the conflict, friends and foes alike?</w:t>
        <w:br w:type="textWrapping"/>
      </w:r>
      <w:r w:rsidDel="00000000" w:rsidR="00000000" w:rsidRPr="00000000">
        <w:rPr>
          <w:rtl w:val="0"/>
        </w:rPr>
        <w:t xml:space="preserve">Exactly. Timing is key.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When Charging Cavalry allows me to let an ally perform a free attack, can I use that on a Faithful Companion?</w:t>
        <w:br w:type="textWrapping"/>
      </w:r>
      <w:r w:rsidDel="00000000" w:rsidR="00000000" w:rsidRPr="00000000">
        <w:rPr>
          <w:rtl w:val="0"/>
        </w:rPr>
        <w:t xml:space="preserve">Sure! The Commander + Wayfarer combo is great for fighting side by side with your companion, without needing to sacrifice your actions.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700.7874015748032" w:top="1700.7874015748032" w:left="850.3937007874016" w:right="850.3937007874016" w:header="720" w:footer="720"/>
      <w:pgNumType w:start="1"/>
      <w:cols w:equalWidth="0" w:num="1">
        <w:col w:space="0" w:w="10204.7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b w:val="1"/>
        <w:color w:val="666666"/>
        <w:sz w:val="20"/>
        <w:szCs w:val="20"/>
      </w:rPr>
    </w:pPr>
    <w:r w:rsidDel="00000000" w:rsidR="00000000" w:rsidRPr="00000000">
      <w:rPr>
        <w:b w:val="1"/>
        <w:color w:val="666666"/>
        <w:sz w:val="20"/>
        <w:szCs w:val="20"/>
        <w:rtl w:val="0"/>
      </w:rPr>
      <w:t xml:space="preserve">Fabula Ultima Errata &amp; F.A.Q. High Fantasy Atlas (updated November 20th, 2024)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